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CA0" w14:textId="77777777" w:rsidR="00111C0D" w:rsidRPr="00111C0D" w:rsidRDefault="00111C0D" w:rsidP="00111C0D">
      <w:pPr>
        <w:jc w:val="center"/>
        <w:rPr>
          <w:b/>
          <w:bCs/>
          <w:sz w:val="22"/>
          <w:szCs w:val="22"/>
        </w:rPr>
      </w:pPr>
      <w:r w:rsidRPr="00111C0D">
        <w:rPr>
          <w:b/>
          <w:bCs/>
          <w:sz w:val="22"/>
          <w:szCs w:val="22"/>
          <w:u w:val="single"/>
        </w:rPr>
        <w:t>The Phillimore Atlas and Index of Parish Registers</w:t>
      </w:r>
    </w:p>
    <w:p w14:paraId="378BE64D" w14:textId="458164A3" w:rsidR="00111C0D" w:rsidRPr="00111C0D" w:rsidRDefault="00111C0D" w:rsidP="00111C0D">
      <w:pPr>
        <w:spacing w:after="0"/>
        <w:jc w:val="center"/>
        <w:rPr>
          <w:sz w:val="20"/>
          <w:szCs w:val="20"/>
        </w:rPr>
      </w:pPr>
      <w:r w:rsidRPr="00111C0D">
        <w:rPr>
          <w:sz w:val="20"/>
          <w:szCs w:val="20"/>
        </w:rPr>
        <w:t>by Cecil R. Humphery-Smith</w:t>
      </w:r>
    </w:p>
    <w:p w14:paraId="0D0ED917" w14:textId="0A7DF50F" w:rsidR="00111C0D" w:rsidRPr="00111C0D" w:rsidRDefault="00111C0D" w:rsidP="00111C0D">
      <w:pPr>
        <w:jc w:val="center"/>
        <w:rPr>
          <w:sz w:val="20"/>
          <w:szCs w:val="20"/>
        </w:rPr>
      </w:pPr>
      <w:r w:rsidRPr="00EB1FED">
        <w:rPr>
          <w:noProof/>
        </w:rPr>
        <w:drawing>
          <wp:anchor distT="0" distB="0" distL="114300" distR="114300" simplePos="0" relativeHeight="251659264" behindDoc="0" locked="0" layoutInCell="1" allowOverlap="1" wp14:anchorId="605ADC4F" wp14:editId="1D2EFCC5">
            <wp:simplePos x="0" y="0"/>
            <wp:positionH relativeFrom="margin">
              <wp:align>center</wp:align>
            </wp:positionH>
            <wp:positionV relativeFrom="page">
              <wp:posOffset>1323975</wp:posOffset>
            </wp:positionV>
            <wp:extent cx="1600200" cy="2136140"/>
            <wp:effectExtent l="57150" t="57150" r="95250" b="92710"/>
            <wp:wrapTight wrapText="bothSides">
              <wp:wrapPolygon edited="0">
                <wp:start x="-771" y="-578"/>
                <wp:lineTo x="-514" y="22345"/>
                <wp:lineTo x="22629" y="22345"/>
                <wp:lineTo x="22629" y="-578"/>
                <wp:lineTo x="-771" y="-578"/>
              </wp:wrapPolygon>
            </wp:wrapTight>
            <wp:docPr id="4" name="Picture 3" descr="A close up of a map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2B483173-E9E6-46D8-50E6-99B06EDC28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map&#10;&#10;Description generated with high confidence">
                      <a:extLst>
                        <a:ext uri="{FF2B5EF4-FFF2-40B4-BE49-F238E27FC236}">
                          <a16:creationId xmlns:a16="http://schemas.microsoft.com/office/drawing/2014/main" id="{2B483173-E9E6-46D8-50E6-99B06EDC28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6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C0D">
        <w:rPr>
          <w:sz w:val="20"/>
          <w:szCs w:val="20"/>
        </w:rPr>
        <w:t>(Third Edition)</w:t>
      </w:r>
    </w:p>
    <w:p w14:paraId="1AD70794" w14:textId="3A452A8B" w:rsidR="00395CF4" w:rsidRDefault="00395CF4" w:rsidP="00395CF4"/>
    <w:p w14:paraId="717EE05C" w14:textId="4649689C" w:rsidR="00C86A50" w:rsidRDefault="00C86A50" w:rsidP="00395CF4"/>
    <w:p w14:paraId="55FB8D90" w14:textId="1787F93D" w:rsidR="00C86A50" w:rsidRDefault="00C86A50" w:rsidP="00395CF4"/>
    <w:p w14:paraId="0140E0CC" w14:textId="1A5E0FC9" w:rsidR="00C86A50" w:rsidRDefault="00C86A50" w:rsidP="00395CF4"/>
    <w:p w14:paraId="695A86CA" w14:textId="2153F606" w:rsidR="00C86A50" w:rsidRDefault="00C86A50" w:rsidP="00395CF4"/>
    <w:p w14:paraId="6B6716B8" w14:textId="22448D10" w:rsidR="00C86A50" w:rsidRDefault="00C86A50" w:rsidP="00395CF4"/>
    <w:p w14:paraId="6BAB5DC1" w14:textId="4C7656FB" w:rsidR="00EB1FED" w:rsidRDefault="00EB1FED" w:rsidP="00395CF4"/>
    <w:p w14:paraId="1E01AAAE" w14:textId="0F2A227F" w:rsidR="00EB1FED" w:rsidRDefault="00EB1FED" w:rsidP="00395CF4"/>
    <w:p w14:paraId="656600EB" w14:textId="2CA4D82B" w:rsidR="002916E3" w:rsidRPr="00C41359" w:rsidRDefault="00395CF4" w:rsidP="00DD7C3D">
      <w:pPr>
        <w:jc w:val="both"/>
        <w:rPr>
          <w:sz w:val="20"/>
          <w:szCs w:val="20"/>
        </w:rPr>
      </w:pPr>
      <w:r w:rsidRPr="00C41359">
        <w:rPr>
          <w:sz w:val="20"/>
          <w:szCs w:val="20"/>
        </w:rPr>
        <w:t>This is a reference volume by Cecil R. Humphery-Smith</w:t>
      </w:r>
      <w:r w:rsidR="00431295" w:rsidRPr="00C41359">
        <w:rPr>
          <w:sz w:val="20"/>
          <w:szCs w:val="20"/>
        </w:rPr>
        <w:t xml:space="preserve"> providing information about the parishes in each county in England</w:t>
      </w:r>
      <w:r w:rsidRPr="00C41359">
        <w:rPr>
          <w:sz w:val="20"/>
          <w:szCs w:val="20"/>
        </w:rPr>
        <w:t>.</w:t>
      </w:r>
      <w:r w:rsidR="000E25B7" w:rsidRPr="00C41359">
        <w:rPr>
          <w:sz w:val="20"/>
          <w:szCs w:val="20"/>
        </w:rPr>
        <w:t xml:space="preserve"> The book </w:t>
      </w:r>
      <w:r w:rsidR="004B7CF9">
        <w:rPr>
          <w:sz w:val="20"/>
          <w:szCs w:val="20"/>
        </w:rPr>
        <w:t>also includes</w:t>
      </w:r>
      <w:r w:rsidR="000E25B7" w:rsidRPr="00C41359">
        <w:rPr>
          <w:sz w:val="20"/>
          <w:szCs w:val="20"/>
        </w:rPr>
        <w:t xml:space="preserve"> information </w:t>
      </w:r>
      <w:r w:rsidR="007A0170" w:rsidRPr="00C41359">
        <w:rPr>
          <w:sz w:val="20"/>
          <w:szCs w:val="20"/>
        </w:rPr>
        <w:t>about</w:t>
      </w:r>
      <w:r w:rsidR="000E25B7" w:rsidRPr="00C41359">
        <w:rPr>
          <w:sz w:val="20"/>
          <w:szCs w:val="20"/>
        </w:rPr>
        <w:t xml:space="preserve"> </w:t>
      </w:r>
      <w:r w:rsidR="00977078" w:rsidRPr="00C41359">
        <w:rPr>
          <w:sz w:val="20"/>
          <w:szCs w:val="20"/>
        </w:rPr>
        <w:t xml:space="preserve">counties in </w:t>
      </w:r>
      <w:r w:rsidR="000E25B7" w:rsidRPr="00C41359">
        <w:rPr>
          <w:sz w:val="20"/>
          <w:szCs w:val="20"/>
        </w:rPr>
        <w:t xml:space="preserve">Wales and Scotland, although the </w:t>
      </w:r>
      <w:proofErr w:type="gramStart"/>
      <w:r w:rsidR="000E25B7" w:rsidRPr="00C41359">
        <w:rPr>
          <w:sz w:val="20"/>
          <w:szCs w:val="20"/>
        </w:rPr>
        <w:t>main focus</w:t>
      </w:r>
      <w:proofErr w:type="gramEnd"/>
      <w:r w:rsidR="000E25B7" w:rsidRPr="00C41359">
        <w:rPr>
          <w:sz w:val="20"/>
          <w:szCs w:val="20"/>
        </w:rPr>
        <w:t xml:space="preserve"> </w:t>
      </w:r>
      <w:r w:rsidR="00977078" w:rsidRPr="00C41359">
        <w:rPr>
          <w:sz w:val="20"/>
          <w:szCs w:val="20"/>
        </w:rPr>
        <w:t xml:space="preserve">of the content </w:t>
      </w:r>
      <w:r w:rsidR="000E25B7" w:rsidRPr="00C41359">
        <w:rPr>
          <w:sz w:val="20"/>
          <w:szCs w:val="20"/>
        </w:rPr>
        <w:t>is the counties of En</w:t>
      </w:r>
      <w:r w:rsidR="00DD7C3D" w:rsidRPr="00C41359">
        <w:rPr>
          <w:sz w:val="20"/>
          <w:szCs w:val="20"/>
        </w:rPr>
        <w:t>g</w:t>
      </w:r>
      <w:r w:rsidR="000E25B7" w:rsidRPr="00C41359">
        <w:rPr>
          <w:sz w:val="20"/>
          <w:szCs w:val="20"/>
        </w:rPr>
        <w:t>land.</w:t>
      </w:r>
      <w:r w:rsidR="00DD30C5" w:rsidRPr="00C41359">
        <w:rPr>
          <w:sz w:val="20"/>
          <w:szCs w:val="20"/>
        </w:rPr>
        <w:t xml:space="preserve"> </w:t>
      </w:r>
      <w:r w:rsidR="009F7107" w:rsidRPr="00C41359">
        <w:rPr>
          <w:sz w:val="20"/>
          <w:szCs w:val="20"/>
        </w:rPr>
        <w:t xml:space="preserve">The book is divided </w:t>
      </w:r>
      <w:proofErr w:type="gramStart"/>
      <w:r w:rsidR="009F7107" w:rsidRPr="00C41359">
        <w:rPr>
          <w:sz w:val="20"/>
          <w:szCs w:val="20"/>
        </w:rPr>
        <w:t>in</w:t>
      </w:r>
      <w:proofErr w:type="gramEnd"/>
      <w:r w:rsidR="009F7107" w:rsidRPr="00C41359">
        <w:rPr>
          <w:sz w:val="20"/>
          <w:szCs w:val="20"/>
        </w:rPr>
        <w:t xml:space="preserve"> two sections: The Atlas and The Index</w:t>
      </w:r>
    </w:p>
    <w:p w14:paraId="03B5F5E0" w14:textId="0B49F81D" w:rsidR="00460211" w:rsidRPr="00C41359" w:rsidRDefault="00DD30C5" w:rsidP="00DD7C3D">
      <w:pPr>
        <w:jc w:val="both"/>
        <w:rPr>
          <w:sz w:val="20"/>
          <w:szCs w:val="20"/>
        </w:rPr>
      </w:pPr>
      <w:r w:rsidRPr="00C41359">
        <w:rPr>
          <w:sz w:val="20"/>
          <w:szCs w:val="20"/>
        </w:rPr>
        <w:t xml:space="preserve">The </w:t>
      </w:r>
      <w:r w:rsidR="009D43CA">
        <w:rPr>
          <w:sz w:val="20"/>
          <w:szCs w:val="20"/>
        </w:rPr>
        <w:t xml:space="preserve">Atlas </w:t>
      </w:r>
      <w:r w:rsidR="002916E3" w:rsidRPr="00C41359">
        <w:rPr>
          <w:sz w:val="20"/>
          <w:szCs w:val="20"/>
        </w:rPr>
        <w:t xml:space="preserve">includes </w:t>
      </w:r>
      <w:r w:rsidR="00952D90" w:rsidRPr="00C41359">
        <w:rPr>
          <w:sz w:val="20"/>
          <w:szCs w:val="20"/>
        </w:rPr>
        <w:t>individual</w:t>
      </w:r>
      <w:r w:rsidR="002916E3" w:rsidRPr="00C41359">
        <w:rPr>
          <w:sz w:val="20"/>
          <w:szCs w:val="20"/>
        </w:rPr>
        <w:t xml:space="preserve"> maps of each county</w:t>
      </w:r>
      <w:r w:rsidR="00DE553D" w:rsidRPr="00C41359">
        <w:rPr>
          <w:sz w:val="20"/>
          <w:szCs w:val="20"/>
        </w:rPr>
        <w:t xml:space="preserve"> in England – both a topographical map</w:t>
      </w:r>
      <w:r w:rsidR="00952D90" w:rsidRPr="00C41359">
        <w:rPr>
          <w:sz w:val="20"/>
          <w:szCs w:val="20"/>
        </w:rPr>
        <w:t>,</w:t>
      </w:r>
      <w:r w:rsidR="00DE553D" w:rsidRPr="00C41359">
        <w:rPr>
          <w:sz w:val="20"/>
          <w:szCs w:val="20"/>
        </w:rPr>
        <w:t xml:space="preserve"> and a detailed map showing </w:t>
      </w:r>
      <w:r w:rsidR="00DE553D" w:rsidRPr="00076B53">
        <w:rPr>
          <w:sz w:val="20"/>
          <w:szCs w:val="20"/>
        </w:rPr>
        <w:t xml:space="preserve">the </w:t>
      </w:r>
      <w:r w:rsidR="002E459C" w:rsidRPr="00076B53">
        <w:rPr>
          <w:sz w:val="20"/>
          <w:szCs w:val="20"/>
        </w:rPr>
        <w:t>parish</w:t>
      </w:r>
      <w:r w:rsidR="00952D90" w:rsidRPr="00C41359">
        <w:rPr>
          <w:sz w:val="20"/>
          <w:szCs w:val="20"/>
        </w:rPr>
        <w:t xml:space="preserve"> </w:t>
      </w:r>
      <w:r w:rsidR="00DE553D" w:rsidRPr="00C41359">
        <w:rPr>
          <w:sz w:val="20"/>
          <w:szCs w:val="20"/>
        </w:rPr>
        <w:t>boun</w:t>
      </w:r>
      <w:r w:rsidR="00952D90" w:rsidRPr="00C41359">
        <w:rPr>
          <w:sz w:val="20"/>
          <w:szCs w:val="20"/>
        </w:rPr>
        <w:t>daries within the county.</w:t>
      </w:r>
      <w:r w:rsidR="007D66CD" w:rsidRPr="00C41359">
        <w:rPr>
          <w:sz w:val="20"/>
          <w:szCs w:val="20"/>
        </w:rPr>
        <w:t xml:space="preserve"> The </w:t>
      </w:r>
      <w:r w:rsidR="00DE729D">
        <w:rPr>
          <w:sz w:val="20"/>
          <w:szCs w:val="20"/>
        </w:rPr>
        <w:t xml:space="preserve">black and white </w:t>
      </w:r>
      <w:r w:rsidR="007D66CD" w:rsidRPr="00C41359">
        <w:rPr>
          <w:sz w:val="20"/>
          <w:szCs w:val="20"/>
        </w:rPr>
        <w:t xml:space="preserve">topographical maps </w:t>
      </w:r>
      <w:r w:rsidR="00070B0F">
        <w:rPr>
          <w:sz w:val="20"/>
          <w:szCs w:val="20"/>
        </w:rPr>
        <w:t>include</w:t>
      </w:r>
      <w:r w:rsidR="001F009F">
        <w:rPr>
          <w:sz w:val="20"/>
          <w:szCs w:val="20"/>
        </w:rPr>
        <w:t xml:space="preserve"> </w:t>
      </w:r>
      <w:r w:rsidR="00070B0F">
        <w:rPr>
          <w:sz w:val="20"/>
          <w:szCs w:val="20"/>
        </w:rPr>
        <w:t xml:space="preserve">a </w:t>
      </w:r>
      <w:r w:rsidR="001F009F">
        <w:rPr>
          <w:sz w:val="20"/>
          <w:szCs w:val="20"/>
        </w:rPr>
        <w:t>list of the hundreds</w:t>
      </w:r>
      <w:r w:rsidR="00070B0F">
        <w:rPr>
          <w:sz w:val="20"/>
          <w:szCs w:val="20"/>
        </w:rPr>
        <w:t xml:space="preserve">. The topo maps </w:t>
      </w:r>
      <w:r w:rsidR="007D66CD" w:rsidRPr="00C41359">
        <w:rPr>
          <w:sz w:val="20"/>
          <w:szCs w:val="20"/>
        </w:rPr>
        <w:t xml:space="preserve">are </w:t>
      </w:r>
      <w:r w:rsidR="00E11AF7" w:rsidRPr="00C41359">
        <w:rPr>
          <w:sz w:val="20"/>
          <w:szCs w:val="20"/>
        </w:rPr>
        <w:t>very</w:t>
      </w:r>
      <w:r w:rsidR="007D66CD" w:rsidRPr="00C41359">
        <w:rPr>
          <w:sz w:val="20"/>
          <w:szCs w:val="20"/>
        </w:rPr>
        <w:t xml:space="preserve"> </w:t>
      </w:r>
      <w:r w:rsidR="0024626F" w:rsidRPr="00C41359">
        <w:rPr>
          <w:sz w:val="20"/>
          <w:szCs w:val="20"/>
        </w:rPr>
        <w:t>busy,</w:t>
      </w:r>
      <w:r w:rsidR="00E11AF7" w:rsidRPr="00C41359">
        <w:rPr>
          <w:sz w:val="20"/>
          <w:szCs w:val="20"/>
        </w:rPr>
        <w:t xml:space="preserve"> and you will likely need </w:t>
      </w:r>
      <w:proofErr w:type="gramStart"/>
      <w:r w:rsidR="00E11AF7" w:rsidRPr="00C41359">
        <w:rPr>
          <w:sz w:val="20"/>
          <w:szCs w:val="20"/>
        </w:rPr>
        <w:t>a magnifying</w:t>
      </w:r>
      <w:proofErr w:type="gramEnd"/>
      <w:r w:rsidR="00E11AF7" w:rsidRPr="00C41359">
        <w:rPr>
          <w:sz w:val="20"/>
          <w:szCs w:val="20"/>
        </w:rPr>
        <w:t xml:space="preserve"> glass to make effective use of them.</w:t>
      </w:r>
      <w:r w:rsidR="00665BD3">
        <w:rPr>
          <w:sz w:val="20"/>
          <w:szCs w:val="20"/>
        </w:rPr>
        <w:t xml:space="preserve"> </w:t>
      </w:r>
      <w:r w:rsidR="00460211" w:rsidRPr="00C41359">
        <w:rPr>
          <w:sz w:val="20"/>
          <w:szCs w:val="20"/>
        </w:rPr>
        <w:t>The county maps</w:t>
      </w:r>
      <w:r w:rsidR="000C653C" w:rsidRPr="00C41359">
        <w:rPr>
          <w:sz w:val="20"/>
          <w:szCs w:val="20"/>
        </w:rPr>
        <w:t xml:space="preserve"> in color</w:t>
      </w:r>
      <w:r w:rsidR="00CB5A6D" w:rsidRPr="00C41359">
        <w:rPr>
          <w:sz w:val="20"/>
          <w:szCs w:val="20"/>
        </w:rPr>
        <w:t xml:space="preserve"> include</w:t>
      </w:r>
      <w:r w:rsidR="007C2D04" w:rsidRPr="00C41359">
        <w:rPr>
          <w:sz w:val="20"/>
          <w:szCs w:val="20"/>
        </w:rPr>
        <w:t xml:space="preserve"> the boundaries of pre-1832 parishes</w:t>
      </w:r>
      <w:r w:rsidR="000B13F1" w:rsidRPr="00C41359">
        <w:rPr>
          <w:sz w:val="20"/>
          <w:szCs w:val="20"/>
        </w:rPr>
        <w:t xml:space="preserve"> and </w:t>
      </w:r>
      <w:r w:rsidR="00CB5A6D" w:rsidRPr="00C41359">
        <w:rPr>
          <w:sz w:val="20"/>
          <w:szCs w:val="20"/>
        </w:rPr>
        <w:t xml:space="preserve">the boundaries of other jurisdictions such as the </w:t>
      </w:r>
      <w:r w:rsidR="00D0092E" w:rsidRPr="00C41359">
        <w:rPr>
          <w:sz w:val="20"/>
          <w:szCs w:val="20"/>
        </w:rPr>
        <w:t>ecclesiastical an</w:t>
      </w:r>
      <w:r w:rsidR="00E97D2A" w:rsidRPr="00C41359">
        <w:rPr>
          <w:sz w:val="20"/>
          <w:szCs w:val="20"/>
        </w:rPr>
        <w:t>d</w:t>
      </w:r>
      <w:r w:rsidR="00CB5A6D" w:rsidRPr="00C41359">
        <w:rPr>
          <w:sz w:val="20"/>
          <w:szCs w:val="20"/>
        </w:rPr>
        <w:t xml:space="preserve"> probate</w:t>
      </w:r>
      <w:r w:rsidR="00E97D2A" w:rsidRPr="00C41359">
        <w:rPr>
          <w:sz w:val="20"/>
          <w:szCs w:val="20"/>
        </w:rPr>
        <w:t xml:space="preserve"> jurisdictions</w:t>
      </w:r>
      <w:r w:rsidR="007C3CF6" w:rsidRPr="00C41359">
        <w:rPr>
          <w:sz w:val="20"/>
          <w:szCs w:val="20"/>
        </w:rPr>
        <w:t>.</w:t>
      </w:r>
    </w:p>
    <w:p w14:paraId="5AE621BE" w14:textId="02573D6E" w:rsidR="007C3CF6" w:rsidRPr="00C41359" w:rsidRDefault="007C3CF6" w:rsidP="00DD7C3D">
      <w:pPr>
        <w:jc w:val="both"/>
        <w:rPr>
          <w:sz w:val="20"/>
          <w:szCs w:val="20"/>
        </w:rPr>
      </w:pPr>
      <w:r w:rsidRPr="00C41359">
        <w:rPr>
          <w:sz w:val="20"/>
          <w:szCs w:val="20"/>
        </w:rPr>
        <w:t>Here is an example of</w:t>
      </w:r>
      <w:r w:rsidR="00310C31" w:rsidRPr="00C41359">
        <w:rPr>
          <w:sz w:val="20"/>
          <w:szCs w:val="20"/>
        </w:rPr>
        <w:t xml:space="preserve"> the map for Hertfordshire.</w:t>
      </w:r>
    </w:p>
    <w:p w14:paraId="5B53A7A2" w14:textId="67DC4F12" w:rsidR="00310C31" w:rsidRDefault="00111C0D" w:rsidP="00DD7C3D">
      <w:pPr>
        <w:jc w:val="both"/>
      </w:pPr>
      <w:r w:rsidRPr="008D32FC">
        <w:rPr>
          <w:noProof/>
        </w:rPr>
        <w:drawing>
          <wp:anchor distT="0" distB="0" distL="114300" distR="114300" simplePos="0" relativeHeight="251661312" behindDoc="0" locked="0" layoutInCell="1" allowOverlap="1" wp14:anchorId="6ACE89D8" wp14:editId="09D24288">
            <wp:simplePos x="0" y="0"/>
            <wp:positionH relativeFrom="margin">
              <wp:align>center</wp:align>
            </wp:positionH>
            <wp:positionV relativeFrom="page">
              <wp:posOffset>5603621</wp:posOffset>
            </wp:positionV>
            <wp:extent cx="4538980" cy="3091815"/>
            <wp:effectExtent l="57150" t="57150" r="90170" b="89535"/>
            <wp:wrapTight wrapText="bothSides">
              <wp:wrapPolygon edited="0">
                <wp:start x="-272" y="-399"/>
                <wp:lineTo x="-181" y="22092"/>
                <wp:lineTo x="21938" y="22092"/>
                <wp:lineTo x="21938" y="-399"/>
                <wp:lineTo x="-272" y="-399"/>
              </wp:wrapPolygon>
            </wp:wrapTight>
            <wp:docPr id="1491817627" name="Picture 3" descr="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E7964C9-E32E-BFE4-3D99-5837003E38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Map&#10;&#10;Description automatically generated">
                      <a:extLst>
                        <a:ext uri="{FF2B5EF4-FFF2-40B4-BE49-F238E27FC236}">
                          <a16:creationId xmlns:a16="http://schemas.microsoft.com/office/drawing/2014/main" id="{1E7964C9-E32E-BFE4-3D99-5837003E38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80" cy="3091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6B289" w14:textId="4F86F575" w:rsidR="007C3CF6" w:rsidRDefault="007C3CF6" w:rsidP="00DD7C3D">
      <w:pPr>
        <w:jc w:val="both"/>
      </w:pPr>
    </w:p>
    <w:p w14:paraId="5EE33CAB" w14:textId="0667ADE6" w:rsidR="007C3CF6" w:rsidRDefault="007C3CF6" w:rsidP="00DD7C3D">
      <w:pPr>
        <w:jc w:val="both"/>
      </w:pPr>
    </w:p>
    <w:p w14:paraId="58AC1133" w14:textId="77777777" w:rsidR="00C80FC8" w:rsidRDefault="00C80FC8" w:rsidP="00DD7C3D">
      <w:pPr>
        <w:jc w:val="both"/>
        <w:rPr>
          <w:sz w:val="16"/>
          <w:szCs w:val="16"/>
        </w:rPr>
      </w:pPr>
    </w:p>
    <w:p w14:paraId="56F79801" w14:textId="77777777" w:rsidR="00C80FC8" w:rsidRDefault="00C80FC8" w:rsidP="00DD7C3D">
      <w:pPr>
        <w:jc w:val="both"/>
        <w:rPr>
          <w:sz w:val="16"/>
          <w:szCs w:val="16"/>
        </w:rPr>
      </w:pPr>
    </w:p>
    <w:p w14:paraId="59016DD6" w14:textId="77777777" w:rsidR="00C80FC8" w:rsidRDefault="00C80FC8" w:rsidP="00DD7C3D">
      <w:pPr>
        <w:jc w:val="both"/>
        <w:rPr>
          <w:sz w:val="16"/>
          <w:szCs w:val="16"/>
        </w:rPr>
      </w:pPr>
    </w:p>
    <w:p w14:paraId="6A43FEE6" w14:textId="77777777" w:rsidR="00C80FC8" w:rsidRDefault="00C80FC8" w:rsidP="00DD7C3D">
      <w:pPr>
        <w:jc w:val="both"/>
        <w:rPr>
          <w:sz w:val="16"/>
          <w:szCs w:val="16"/>
        </w:rPr>
      </w:pPr>
    </w:p>
    <w:p w14:paraId="28EF64B0" w14:textId="77777777" w:rsidR="00C80FC8" w:rsidRDefault="00C80FC8" w:rsidP="00DD7C3D">
      <w:pPr>
        <w:jc w:val="both"/>
        <w:rPr>
          <w:sz w:val="16"/>
          <w:szCs w:val="16"/>
        </w:rPr>
      </w:pPr>
    </w:p>
    <w:p w14:paraId="45037B7C" w14:textId="77777777" w:rsidR="00C80FC8" w:rsidRDefault="00C80FC8" w:rsidP="00DD7C3D">
      <w:pPr>
        <w:jc w:val="both"/>
        <w:rPr>
          <w:sz w:val="16"/>
          <w:szCs w:val="16"/>
        </w:rPr>
      </w:pPr>
    </w:p>
    <w:p w14:paraId="286C9FA4" w14:textId="77777777" w:rsidR="00C80FC8" w:rsidRDefault="00C80FC8" w:rsidP="00DD7C3D">
      <w:pPr>
        <w:jc w:val="both"/>
        <w:rPr>
          <w:sz w:val="16"/>
          <w:szCs w:val="16"/>
        </w:rPr>
      </w:pPr>
    </w:p>
    <w:p w14:paraId="1028A8C0" w14:textId="77777777" w:rsidR="00C80FC8" w:rsidRDefault="00C80FC8" w:rsidP="00DD7C3D">
      <w:pPr>
        <w:jc w:val="both"/>
        <w:rPr>
          <w:sz w:val="16"/>
          <w:szCs w:val="16"/>
        </w:rPr>
      </w:pPr>
    </w:p>
    <w:p w14:paraId="30D91429" w14:textId="77777777" w:rsidR="00C80FC8" w:rsidRDefault="00C80FC8" w:rsidP="00DD7C3D">
      <w:pPr>
        <w:jc w:val="both"/>
        <w:rPr>
          <w:sz w:val="16"/>
          <w:szCs w:val="16"/>
        </w:rPr>
      </w:pPr>
    </w:p>
    <w:p w14:paraId="4BBEBD11" w14:textId="77777777" w:rsidR="00C80FC8" w:rsidRDefault="00C80FC8" w:rsidP="00DD7C3D">
      <w:pPr>
        <w:jc w:val="both"/>
        <w:rPr>
          <w:sz w:val="16"/>
          <w:szCs w:val="16"/>
        </w:rPr>
      </w:pPr>
    </w:p>
    <w:p w14:paraId="08BB3F9C" w14:textId="77777777" w:rsidR="00C80FC8" w:rsidRDefault="00C80FC8" w:rsidP="00DD7C3D">
      <w:pPr>
        <w:jc w:val="both"/>
        <w:rPr>
          <w:sz w:val="16"/>
          <w:szCs w:val="16"/>
        </w:rPr>
      </w:pPr>
    </w:p>
    <w:p w14:paraId="14B7499A" w14:textId="0A34F253" w:rsidR="0021156F" w:rsidRPr="00A36967" w:rsidRDefault="0021156F" w:rsidP="00DD7C3D">
      <w:pPr>
        <w:jc w:val="both"/>
        <w:rPr>
          <w:sz w:val="20"/>
          <w:szCs w:val="20"/>
        </w:rPr>
      </w:pPr>
      <w:r w:rsidRPr="00A36967">
        <w:rPr>
          <w:sz w:val="20"/>
          <w:szCs w:val="20"/>
        </w:rPr>
        <w:t xml:space="preserve">The Index part of the book </w:t>
      </w:r>
      <w:r w:rsidR="00436A01" w:rsidRPr="00A36967">
        <w:rPr>
          <w:sz w:val="20"/>
          <w:szCs w:val="20"/>
        </w:rPr>
        <w:t>includes</w:t>
      </w:r>
      <w:r w:rsidRPr="00A36967">
        <w:rPr>
          <w:sz w:val="20"/>
          <w:szCs w:val="20"/>
        </w:rPr>
        <w:t xml:space="preserve"> detail</w:t>
      </w:r>
      <w:r w:rsidR="0009336F" w:rsidRPr="00A36967">
        <w:rPr>
          <w:sz w:val="20"/>
          <w:szCs w:val="20"/>
        </w:rPr>
        <w:t>s</w:t>
      </w:r>
      <w:r w:rsidRPr="00A36967">
        <w:rPr>
          <w:sz w:val="20"/>
          <w:szCs w:val="20"/>
        </w:rPr>
        <w:t xml:space="preserve"> about the parishes</w:t>
      </w:r>
      <w:r w:rsidR="00436A01" w:rsidRPr="00A36967">
        <w:rPr>
          <w:sz w:val="20"/>
          <w:szCs w:val="20"/>
        </w:rPr>
        <w:t>.</w:t>
      </w:r>
      <w:r w:rsidRPr="00A36967">
        <w:rPr>
          <w:sz w:val="20"/>
          <w:szCs w:val="20"/>
        </w:rPr>
        <w:t xml:space="preserve"> That includes a full alphabetical list of all the </w:t>
      </w:r>
      <w:r w:rsidR="00436A01" w:rsidRPr="00A36967">
        <w:rPr>
          <w:sz w:val="20"/>
          <w:szCs w:val="20"/>
        </w:rPr>
        <w:t>parishes</w:t>
      </w:r>
      <w:r w:rsidRPr="00A36967">
        <w:rPr>
          <w:sz w:val="20"/>
          <w:szCs w:val="20"/>
        </w:rPr>
        <w:t xml:space="preserve"> in each county</w:t>
      </w:r>
      <w:r w:rsidR="0024100C" w:rsidRPr="00A36967">
        <w:rPr>
          <w:sz w:val="20"/>
          <w:szCs w:val="20"/>
        </w:rPr>
        <w:t xml:space="preserve"> and the dates</w:t>
      </w:r>
      <w:r w:rsidR="00DE2144">
        <w:rPr>
          <w:sz w:val="20"/>
          <w:szCs w:val="20"/>
        </w:rPr>
        <w:t xml:space="preserve"> and other details about the parish records.</w:t>
      </w:r>
      <w:r w:rsidR="0096480F">
        <w:rPr>
          <w:sz w:val="20"/>
          <w:szCs w:val="20"/>
        </w:rPr>
        <w:t xml:space="preserve"> Further reference </w:t>
      </w:r>
      <w:r w:rsidR="007557E6">
        <w:rPr>
          <w:sz w:val="20"/>
          <w:szCs w:val="20"/>
        </w:rPr>
        <w:t>information</w:t>
      </w:r>
      <w:r w:rsidR="0096480F">
        <w:rPr>
          <w:sz w:val="20"/>
          <w:szCs w:val="20"/>
        </w:rPr>
        <w:t xml:space="preserve"> on </w:t>
      </w:r>
      <w:r w:rsidR="007557E6">
        <w:rPr>
          <w:sz w:val="20"/>
          <w:szCs w:val="20"/>
        </w:rPr>
        <w:t>that</w:t>
      </w:r>
      <w:r w:rsidR="0096480F">
        <w:rPr>
          <w:sz w:val="20"/>
          <w:szCs w:val="20"/>
        </w:rPr>
        <w:t xml:space="preserve"> is provided overleaf.</w:t>
      </w:r>
    </w:p>
    <w:p w14:paraId="4133F0FD" w14:textId="10DBD87D" w:rsidR="007C7C80" w:rsidRPr="00A36967" w:rsidRDefault="007C7C80" w:rsidP="00DD7C3D">
      <w:pPr>
        <w:jc w:val="both"/>
        <w:rPr>
          <w:sz w:val="20"/>
          <w:szCs w:val="20"/>
        </w:rPr>
      </w:pPr>
    </w:p>
    <w:p w14:paraId="223915EF" w14:textId="77777777" w:rsidR="006C1501" w:rsidRPr="00111C0D" w:rsidRDefault="006C1501" w:rsidP="006C1501">
      <w:pPr>
        <w:jc w:val="center"/>
        <w:rPr>
          <w:sz w:val="22"/>
          <w:szCs w:val="22"/>
        </w:rPr>
      </w:pPr>
      <w:r w:rsidRPr="00111C0D">
        <w:rPr>
          <w:sz w:val="22"/>
          <w:szCs w:val="22"/>
          <w:u w:val="single"/>
        </w:rPr>
        <w:t>The Phillimore Atlas and Index of Parish Registers</w:t>
      </w:r>
    </w:p>
    <w:p w14:paraId="3DD1EA71" w14:textId="77777777" w:rsidR="00551975" w:rsidRDefault="00551975" w:rsidP="006C1501">
      <w:pPr>
        <w:jc w:val="center"/>
        <w:rPr>
          <w:noProof/>
        </w:rPr>
      </w:pPr>
    </w:p>
    <w:p w14:paraId="6CA7843B" w14:textId="66C20F4D" w:rsidR="006C1501" w:rsidRDefault="00551975" w:rsidP="006C1501">
      <w:pPr>
        <w:jc w:val="center"/>
      </w:pPr>
      <w:r w:rsidRPr="00FD61F0">
        <w:rPr>
          <w:noProof/>
        </w:rPr>
        <w:drawing>
          <wp:inline distT="0" distB="0" distL="0" distR="0" wp14:anchorId="308843FB" wp14:editId="06350203">
            <wp:extent cx="6126480" cy="1540510"/>
            <wp:effectExtent l="19050" t="19050" r="26670" b="21590"/>
            <wp:docPr id="180513998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3998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540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88AC3D" w14:textId="0EE5C340" w:rsidR="006C1501" w:rsidRDefault="006C1501" w:rsidP="006C1501">
      <w:pPr>
        <w:jc w:val="center"/>
      </w:pPr>
    </w:p>
    <w:p w14:paraId="18F176BE" w14:textId="77777777" w:rsidR="006C1501" w:rsidRPr="009C04C0" w:rsidRDefault="006C1501" w:rsidP="006C1501">
      <w:pPr>
        <w:spacing w:line="240" w:lineRule="auto"/>
        <w:jc w:val="both"/>
        <w:rPr>
          <w:sz w:val="20"/>
          <w:szCs w:val="20"/>
        </w:rPr>
      </w:pPr>
      <w:r w:rsidRPr="00FD61F0">
        <w:rPr>
          <w:sz w:val="20"/>
          <w:szCs w:val="20"/>
        </w:rPr>
        <w:t>Th</w:t>
      </w:r>
      <w:r w:rsidRPr="009C04C0">
        <w:rPr>
          <w:sz w:val="20"/>
          <w:szCs w:val="20"/>
        </w:rPr>
        <w:t xml:space="preserve">is handout is intended to </w:t>
      </w:r>
      <w:r>
        <w:rPr>
          <w:sz w:val="20"/>
          <w:szCs w:val="20"/>
        </w:rPr>
        <w:t>serve as</w:t>
      </w:r>
      <w:r w:rsidRPr="009C04C0">
        <w:rPr>
          <w:sz w:val="20"/>
          <w:szCs w:val="20"/>
        </w:rPr>
        <w:t xml:space="preserve"> a handy reference guide to the </w:t>
      </w:r>
      <w:r w:rsidRPr="009C04C0">
        <w:rPr>
          <w:sz w:val="20"/>
          <w:szCs w:val="20"/>
          <w:u w:val="single"/>
        </w:rPr>
        <w:t>Phillimore Atlas</w:t>
      </w:r>
      <w:r w:rsidRPr="009C04C0">
        <w:rPr>
          <w:sz w:val="20"/>
          <w:szCs w:val="20"/>
        </w:rPr>
        <w:t xml:space="preserve"> in understanding the </w:t>
      </w:r>
      <w:r w:rsidRPr="00FD61F0">
        <w:rPr>
          <w:sz w:val="20"/>
          <w:szCs w:val="20"/>
        </w:rPr>
        <w:t>column headings on the county pages in The Index section of the</w:t>
      </w:r>
      <w:r w:rsidRPr="009C04C0">
        <w:rPr>
          <w:sz w:val="20"/>
          <w:szCs w:val="20"/>
        </w:rPr>
        <w:t xml:space="preserve"> book. These headings provide </w:t>
      </w:r>
      <w:r w:rsidRPr="00FD61F0">
        <w:rPr>
          <w:sz w:val="20"/>
          <w:szCs w:val="20"/>
        </w:rPr>
        <w:t xml:space="preserve">details </w:t>
      </w:r>
      <w:r w:rsidRPr="009C04C0">
        <w:rPr>
          <w:sz w:val="20"/>
          <w:szCs w:val="20"/>
        </w:rPr>
        <w:t>about the records for parishes within</w:t>
      </w:r>
      <w:r w:rsidRPr="00FD61F0">
        <w:rPr>
          <w:sz w:val="20"/>
          <w:szCs w:val="20"/>
        </w:rPr>
        <w:t xml:space="preserve"> each county. </w:t>
      </w:r>
      <w:r w:rsidRPr="009C04C0">
        <w:rPr>
          <w:sz w:val="20"/>
          <w:szCs w:val="20"/>
        </w:rPr>
        <w:t>Below is a brief description for each heading.</w:t>
      </w:r>
    </w:p>
    <w:p w14:paraId="7DD70E0D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Parsh name</w:t>
      </w:r>
      <w:r w:rsidRPr="009C04C0">
        <w:rPr>
          <w:sz w:val="20"/>
          <w:szCs w:val="20"/>
        </w:rPr>
        <w:t>: the name of each parish in the county arranged in alphabetical order.</w:t>
      </w:r>
    </w:p>
    <w:p w14:paraId="3E42FD50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Deposited original registers</w:t>
      </w:r>
      <w:r w:rsidRPr="009C04C0">
        <w:rPr>
          <w:sz w:val="20"/>
          <w:szCs w:val="20"/>
        </w:rPr>
        <w:t>: earliest dates for which baptism, marriage and burial records exist for that parish The A-B-C letter preceding the dates refers to the location of the depository where the original registers were deposited and are described in notes at the end of the county section.</w:t>
      </w:r>
    </w:p>
    <w:p w14:paraId="2AFCC8E5" w14:textId="77777777" w:rsidR="006C1501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I.G.</w:t>
      </w:r>
      <w:proofErr w:type="gramStart"/>
      <w:r w:rsidRPr="009C04C0">
        <w:rPr>
          <w:sz w:val="20"/>
          <w:szCs w:val="20"/>
          <w:u w:val="single"/>
        </w:rPr>
        <w:t>I.</w:t>
      </w:r>
      <w:r w:rsidRPr="009C04C0">
        <w:rPr>
          <w:sz w:val="20"/>
          <w:szCs w:val="20"/>
        </w:rPr>
        <w:t>:</w:t>
      </w:r>
      <w:proofErr w:type="gramEnd"/>
      <w:r w:rsidRPr="009C04C0">
        <w:rPr>
          <w:sz w:val="20"/>
          <w:szCs w:val="20"/>
        </w:rPr>
        <w:t xml:space="preserve"> indicates whether parish records are included in other indexes, such as those historically created by the IGI (International Genealogical Index).</w:t>
      </w:r>
    </w:p>
    <w:p w14:paraId="3EB3C312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Local census indexes</w:t>
      </w:r>
      <w:r w:rsidRPr="009C04C0">
        <w:rPr>
          <w:sz w:val="20"/>
          <w:szCs w:val="20"/>
        </w:rPr>
        <w:t>: information related to census indexes for each parish, aiding the use of census records with parish registers. The number</w:t>
      </w:r>
      <w:r>
        <w:rPr>
          <w:sz w:val="20"/>
          <w:szCs w:val="20"/>
        </w:rPr>
        <w:t>s</w:t>
      </w:r>
      <w:r w:rsidRPr="009C04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5, 7, 8, 9 </w:t>
      </w:r>
      <w:r w:rsidRPr="009C04C0">
        <w:rPr>
          <w:sz w:val="20"/>
          <w:szCs w:val="20"/>
        </w:rPr>
        <w:t>refer to the census year as follows: 5-18</w:t>
      </w:r>
      <w:r w:rsidRPr="009C04C0">
        <w:rPr>
          <w:sz w:val="20"/>
          <w:szCs w:val="20"/>
          <w:u w:val="single"/>
        </w:rPr>
        <w:t>5</w:t>
      </w:r>
      <w:r w:rsidRPr="009C04C0">
        <w:rPr>
          <w:sz w:val="20"/>
          <w:szCs w:val="20"/>
        </w:rPr>
        <w:t xml:space="preserve">1; </w:t>
      </w:r>
      <w:r>
        <w:rPr>
          <w:sz w:val="20"/>
          <w:szCs w:val="20"/>
        </w:rPr>
        <w:t>7-18</w:t>
      </w:r>
      <w:r w:rsidRPr="001F2196">
        <w:rPr>
          <w:sz w:val="20"/>
          <w:szCs w:val="20"/>
          <w:u w:val="single"/>
        </w:rPr>
        <w:t>7</w:t>
      </w:r>
      <w:r>
        <w:rPr>
          <w:sz w:val="20"/>
          <w:szCs w:val="20"/>
        </w:rPr>
        <w:t>1; 8-18</w:t>
      </w:r>
      <w:r w:rsidRPr="001F2196">
        <w:rPr>
          <w:sz w:val="20"/>
          <w:szCs w:val="20"/>
          <w:u w:val="single"/>
        </w:rPr>
        <w:t>8</w:t>
      </w:r>
      <w:r w:rsidRPr="009C04C0">
        <w:rPr>
          <w:sz w:val="20"/>
          <w:szCs w:val="20"/>
        </w:rPr>
        <w:t>1</w:t>
      </w:r>
      <w:r>
        <w:rPr>
          <w:sz w:val="20"/>
          <w:szCs w:val="20"/>
        </w:rPr>
        <w:t>; 9-18</w:t>
      </w:r>
      <w:r w:rsidRPr="001F2196">
        <w:rPr>
          <w:sz w:val="20"/>
          <w:szCs w:val="20"/>
          <w:u w:val="single"/>
        </w:rPr>
        <w:t>9</w:t>
      </w:r>
      <w:r>
        <w:rPr>
          <w:sz w:val="20"/>
          <w:szCs w:val="20"/>
        </w:rPr>
        <w:t>1</w:t>
      </w:r>
      <w:r w:rsidRPr="009C04C0">
        <w:rPr>
          <w:sz w:val="20"/>
          <w:szCs w:val="20"/>
        </w:rPr>
        <w:t>. (Note: the 1901 index was not available when work began on the Third Edition</w:t>
      </w:r>
      <w:r>
        <w:rPr>
          <w:sz w:val="20"/>
          <w:szCs w:val="20"/>
        </w:rPr>
        <w:t>, which</w:t>
      </w:r>
      <w:r w:rsidRPr="009C04C0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9C04C0">
        <w:rPr>
          <w:sz w:val="20"/>
          <w:szCs w:val="20"/>
        </w:rPr>
        <w:t>lso predated public access to the 1911 and 1921 Censuses.)</w:t>
      </w:r>
    </w:p>
    <w:p w14:paraId="114F6721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C876EB">
        <w:rPr>
          <w:sz w:val="20"/>
          <w:szCs w:val="20"/>
          <w:u w:val="single"/>
        </w:rPr>
        <w:t>Copies of registers at Soc. Gen.</w:t>
      </w:r>
      <w:r w:rsidRPr="009C04C0">
        <w:rPr>
          <w:sz w:val="20"/>
          <w:szCs w:val="20"/>
        </w:rPr>
        <w:t>: years for which there is a copy of the registers for that parish at the Society of Genealogists in London.</w:t>
      </w:r>
    </w:p>
    <w:p w14:paraId="2E340B72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Boyd’s marriage index</w:t>
      </w:r>
      <w:r w:rsidRPr="009C04C0">
        <w:rPr>
          <w:sz w:val="20"/>
          <w:szCs w:val="20"/>
        </w:rPr>
        <w:t>: range of years for which there are records in that parish included in Boyd’s marriage Index.</w:t>
      </w:r>
    </w:p>
    <w:p w14:paraId="1DA7DF92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1837-1851 Registration District</w:t>
      </w:r>
      <w:r w:rsidRPr="009C04C0">
        <w:rPr>
          <w:sz w:val="20"/>
          <w:szCs w:val="20"/>
        </w:rPr>
        <w:t xml:space="preserve">: name of the civil registration district in which that parish is located. </w:t>
      </w:r>
    </w:p>
    <w:p w14:paraId="4C389EA2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Pallot’s marriage index</w:t>
      </w:r>
      <w:r w:rsidRPr="009C04C0">
        <w:rPr>
          <w:sz w:val="20"/>
          <w:szCs w:val="20"/>
        </w:rPr>
        <w:t>: range of years for which there are records in that parish included in Pallot’s marriage Index.</w:t>
      </w:r>
    </w:p>
    <w:p w14:paraId="332A8857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Non-conform. records at P.R.O.</w:t>
      </w:r>
      <w:r w:rsidRPr="009C04C0">
        <w:rPr>
          <w:sz w:val="20"/>
          <w:szCs w:val="20"/>
        </w:rPr>
        <w:t>: range of years for which the Public Records Office holds non-conformist registers/records for that parish.</w:t>
      </w:r>
    </w:p>
    <w:p w14:paraId="01BD4322" w14:textId="77777777" w:rsidR="006C1501" w:rsidRPr="009C04C0" w:rsidRDefault="006C1501" w:rsidP="006C1501">
      <w:pPr>
        <w:jc w:val="both"/>
        <w:rPr>
          <w:sz w:val="20"/>
          <w:szCs w:val="20"/>
        </w:rPr>
      </w:pPr>
      <w:r w:rsidRPr="009C04C0">
        <w:rPr>
          <w:sz w:val="20"/>
          <w:szCs w:val="20"/>
          <w:u w:val="single"/>
        </w:rPr>
        <w:t>Map ref.</w:t>
      </w:r>
      <w:r w:rsidRPr="009C04C0">
        <w:rPr>
          <w:sz w:val="20"/>
          <w:szCs w:val="20"/>
        </w:rPr>
        <w:t>: the grid reference to the county map found in The Atlas section of the book for the location of the parish.</w:t>
      </w:r>
    </w:p>
    <w:p w14:paraId="54C51471" w14:textId="77777777" w:rsidR="006C1501" w:rsidRDefault="006C1501" w:rsidP="006C1501">
      <w:pPr>
        <w:jc w:val="both"/>
        <w:rPr>
          <w:sz w:val="18"/>
          <w:szCs w:val="18"/>
        </w:rPr>
      </w:pPr>
    </w:p>
    <w:p w14:paraId="27AE0986" w14:textId="77777777" w:rsidR="006C1501" w:rsidRDefault="006C1501" w:rsidP="006C1501">
      <w:pPr>
        <w:jc w:val="both"/>
        <w:rPr>
          <w:sz w:val="18"/>
          <w:szCs w:val="18"/>
        </w:rPr>
      </w:pPr>
      <w:r w:rsidRPr="00003A0F">
        <w:rPr>
          <w:sz w:val="18"/>
          <w:szCs w:val="18"/>
        </w:rPr>
        <w:t xml:space="preserve">It is also advisable to see the additional notes in the </w:t>
      </w:r>
      <w:r w:rsidRPr="00003A0F">
        <w:rPr>
          <w:sz w:val="18"/>
          <w:szCs w:val="18"/>
          <w:u w:val="single"/>
        </w:rPr>
        <w:t>Editor’s Introduction</w:t>
      </w:r>
      <w:r>
        <w:rPr>
          <w:sz w:val="18"/>
          <w:szCs w:val="18"/>
        </w:rPr>
        <w:t xml:space="preserve">, </w:t>
      </w:r>
      <w:r w:rsidRPr="00A36967">
        <w:rPr>
          <w:sz w:val="20"/>
          <w:szCs w:val="20"/>
        </w:rPr>
        <w:t xml:space="preserve">vii-xiii, </w:t>
      </w:r>
      <w:r w:rsidRPr="00003A0F">
        <w:rPr>
          <w:sz w:val="18"/>
          <w:szCs w:val="18"/>
        </w:rPr>
        <w:t>which includes extra details.</w:t>
      </w:r>
    </w:p>
    <w:p w14:paraId="322C2C22" w14:textId="77777777" w:rsidR="00CE36D2" w:rsidRDefault="00CE36D2" w:rsidP="0022647F">
      <w:pPr>
        <w:jc w:val="both"/>
        <w:rPr>
          <w:sz w:val="22"/>
          <w:szCs w:val="22"/>
        </w:rPr>
      </w:pPr>
    </w:p>
    <w:p w14:paraId="32EC65EC" w14:textId="525206EC" w:rsidR="00712B38" w:rsidRPr="0022647F" w:rsidRDefault="006C1501" w:rsidP="0022647F">
      <w:pPr>
        <w:jc w:val="both"/>
        <w:rPr>
          <w:sz w:val="12"/>
          <w:szCs w:val="12"/>
        </w:rPr>
      </w:pPr>
      <w:r w:rsidRPr="00CD5C0E">
        <w:rPr>
          <w:sz w:val="22"/>
          <w:szCs w:val="22"/>
        </w:rPr>
        <w:t xml:space="preserve">Prepared by David Flint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E95C92">
          <w:rPr>
            <w:rStyle w:val="Hyperlink"/>
            <w:sz w:val="22"/>
            <w:szCs w:val="22"/>
          </w:rPr>
          <w:t>davidflintgenealogy@gmail.com</w:t>
        </w:r>
      </w:hyperlink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44EC">
        <w:rPr>
          <w:sz w:val="12"/>
          <w:szCs w:val="12"/>
        </w:rPr>
        <w:t>7/24/2025 8:03 AM</w:t>
      </w:r>
    </w:p>
    <w:p w14:paraId="7B6458CB" w14:textId="0CADA79E" w:rsidR="00712B38" w:rsidRPr="007C3CF6" w:rsidRDefault="00712B38" w:rsidP="00DD7C3D">
      <w:pPr>
        <w:jc w:val="both"/>
        <w:rPr>
          <w:sz w:val="16"/>
          <w:szCs w:val="16"/>
        </w:rPr>
      </w:pPr>
    </w:p>
    <w:sectPr w:rsidR="00712B38" w:rsidRPr="007C3CF6" w:rsidSect="00A6035B">
      <w:pgSz w:w="12240" w:h="15840"/>
      <w:pgMar w:top="1008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F4"/>
    <w:rsid w:val="00070B0F"/>
    <w:rsid w:val="00076B53"/>
    <w:rsid w:val="0009336F"/>
    <w:rsid w:val="000B13F1"/>
    <w:rsid w:val="000C653C"/>
    <w:rsid w:val="000E25B7"/>
    <w:rsid w:val="00111C0D"/>
    <w:rsid w:val="00177168"/>
    <w:rsid w:val="001F009F"/>
    <w:rsid w:val="00200B4D"/>
    <w:rsid w:val="0021156F"/>
    <w:rsid w:val="0022647F"/>
    <w:rsid w:val="0024100C"/>
    <w:rsid w:val="0024626F"/>
    <w:rsid w:val="002916E3"/>
    <w:rsid w:val="002A180A"/>
    <w:rsid w:val="002E459C"/>
    <w:rsid w:val="002F3443"/>
    <w:rsid w:val="00310C31"/>
    <w:rsid w:val="0034737B"/>
    <w:rsid w:val="00395CF4"/>
    <w:rsid w:val="00431295"/>
    <w:rsid w:val="00436A01"/>
    <w:rsid w:val="00437DF7"/>
    <w:rsid w:val="00460211"/>
    <w:rsid w:val="00483EB9"/>
    <w:rsid w:val="004B7CF9"/>
    <w:rsid w:val="00551975"/>
    <w:rsid w:val="005B46B2"/>
    <w:rsid w:val="00642C89"/>
    <w:rsid w:val="00665BD3"/>
    <w:rsid w:val="00696A6D"/>
    <w:rsid w:val="006C1501"/>
    <w:rsid w:val="00712B38"/>
    <w:rsid w:val="007557E6"/>
    <w:rsid w:val="007A0170"/>
    <w:rsid w:val="007C2D04"/>
    <w:rsid w:val="007C3CF6"/>
    <w:rsid w:val="007C7384"/>
    <w:rsid w:val="007C7C80"/>
    <w:rsid w:val="007D66CD"/>
    <w:rsid w:val="00810F19"/>
    <w:rsid w:val="008D32FC"/>
    <w:rsid w:val="008D3421"/>
    <w:rsid w:val="008F2366"/>
    <w:rsid w:val="00903C87"/>
    <w:rsid w:val="00952D90"/>
    <w:rsid w:val="0096480F"/>
    <w:rsid w:val="00977078"/>
    <w:rsid w:val="009D43CA"/>
    <w:rsid w:val="009D5D2F"/>
    <w:rsid w:val="009D78AD"/>
    <w:rsid w:val="009F7107"/>
    <w:rsid w:val="00A326E0"/>
    <w:rsid w:val="00A36967"/>
    <w:rsid w:val="00A6035B"/>
    <w:rsid w:val="00AC2ABF"/>
    <w:rsid w:val="00AD74D5"/>
    <w:rsid w:val="00C41359"/>
    <w:rsid w:val="00C72DCC"/>
    <w:rsid w:val="00C80FC8"/>
    <w:rsid w:val="00C86A50"/>
    <w:rsid w:val="00CB5A6D"/>
    <w:rsid w:val="00CE36D2"/>
    <w:rsid w:val="00D0092E"/>
    <w:rsid w:val="00DD30C5"/>
    <w:rsid w:val="00DD7C3D"/>
    <w:rsid w:val="00DE2144"/>
    <w:rsid w:val="00DE44EC"/>
    <w:rsid w:val="00DE553D"/>
    <w:rsid w:val="00DE729D"/>
    <w:rsid w:val="00E11AF7"/>
    <w:rsid w:val="00E97D2A"/>
    <w:rsid w:val="00EB1FED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5DB1"/>
  <w15:chartTrackingRefBased/>
  <w15:docId w15:val="{A785BF64-546E-45F9-ACE5-5193FFD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C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C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C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C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C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C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C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C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C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C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C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C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C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C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C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C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5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flintgenealog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FLINT</dc:creator>
  <cp:keywords/>
  <dc:description/>
  <cp:lastModifiedBy>DAVID FLINT</cp:lastModifiedBy>
  <cp:revision>70</cp:revision>
  <cp:lastPrinted>2025-07-24T15:04:00Z</cp:lastPrinted>
  <dcterms:created xsi:type="dcterms:W3CDTF">2025-05-31T15:55:00Z</dcterms:created>
  <dcterms:modified xsi:type="dcterms:W3CDTF">2025-07-24T15:05:00Z</dcterms:modified>
</cp:coreProperties>
</file>